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43</w:t>
      </w:r>
    </w:p>
    <w:p>
      <w:r>
        <w:t>Bundesgericht (BGE), 2022-11-22, DE</w:t>
      </w:r>
    </w:p>
    <w:p>
      <w:r>
        <w:rPr>
          <w:b/>
        </w:rPr>
        <w:t xml:space="preserve">Quelle: </w:t>
      </w:r>
      <w:r>
        <w:t>https://mcp.opencaselaw.ch/entscheid/bge_149 II 43</w:t>
      </w:r>
    </w:p>
    <w:p>
      <w:r>
        <w:t>FR: ATF 149 II 43</w:t>
      </w:r>
    </w:p>
    <w:p>
      <w:r>
        <w:t>IT: DTF 149 II 43</w:t>
      </w:r>
    </w:p>
    <w:p>
      <w:pPr>
        <w:pStyle w:val="Heading2"/>
      </w:pPr>
      <w:r>
        <w:t>Regeste</w:t>
      </w:r>
    </w:p>
    <w:p>
      <w:r>
        <w:t>Regeste Art. 18 Abs. 2 lit. a und Art. 33 Abs. 2 MWSTG; Begriff der Subventionen und der anderen öffentlich-rechtlichen Beiträge; Mittelflüsse zwischen Dienststellen desselben Gemeinwesens. Mittelflüsse zwischen Dienststellen desselben Gemeinwesens sind keine Subventionen und führen grundsätzlich nicht zu einer Kürzung des Vorsteuerabzugs (E. 3-3.6.2). Die Steuerumgehung bleibt vorbehalten (E. 3.6.3 und 3.6.4).</w:t>
      </w:r>
    </w:p>
    <w:p>
      <w:pPr>
        <w:pStyle w:val="Heading2"/>
      </w:pPr>
      <w:r>
        <w:t>Erwägungen</w:t>
      </w:r>
    </w:p>
    <w:p>
      <w:r>
        <w:rPr>
          <w:b/>
        </w:rPr>
        <w:t>E. 3</w:t>
      </w:r>
    </w:p>
    <w:p>
      <w:r>
        <w:t>Zwischen den Parteien ist unbestritten, dass die Dienststelle Liegenschaftsverwaltung grundsätzlich nach Art. 28 Abs. 1 MWSTG das Recht darauf hat, Vorsteuern abzuziehen, die im Zusammenhang mit dem Bau und der Vermietung des neuen Gemeindehauses angefallen sind. Streitig ist jedoch, ob der Dienststelle Liegenschaftsverwaltung die Mittel für den Bau des Gemeindehauses in der Form einer Subvention oder eines anderen öffentlich-rechtlichen Beitrags gemäss Art. 18 Abs. 2 lit. a MWSTG zugeflossen sind und deshalb der Vorsteuerabzug gemäss Art. 33 Abs. 2 MWSTG verhältnismässig zu kürzen ist.</w:t>
      </w:r>
    </w:p>
    <w:p>
      <w:r>
        <w:rPr>
          <w:b/>
        </w:rPr>
        <w:t>E. 3.1</w:t>
      </w:r>
    </w:p>
    <w:p>
      <w:r>
        <w:t>Die Vorinstanz ist zum Schluss gelangt, dass die zum Zweck des Baus des Gemeindehauses auf die Dienststelle Liegenschaftsverwaltung umgebuchten Mittel dieser zwar zugeflossen seien, es sich dabei aber um Einlagen in Unternehmen nach Art. 18 Abs. 2 lit. e MWSTG und nicht um Subventionen oder andere öffentlich-rechtliche Beiträge nach Art. 18 Abs. 2 lit. a MWSTG gehandelt habe. Sie stützt sich für diesen Befund auf das Urteil 2C_356/2020 vom 21. Oktober 2020. BGE 149 II 43 S. 46</w:t>
      </w:r>
    </w:p>
    <w:p>
      <w:r>
        <w:rPr>
          <w:b/>
        </w:rPr>
        <w:t>E. 3.1.1</w:t>
      </w:r>
    </w:p>
    <w:p>
      <w:r>
        <w:t>Dort hat das Bundesgericht unter anderem festgehalten, dass Subventionen und andere öffentlich-rechtliche Beiträge ebenso wie Einlagen in Unternehmen nicht als Teil des Entgelts gelten ( Art. 18 Abs. 2 lit. a und e MWSTG ) und nicht als Entgelte geltende Mittelflüsse grundsätzlich zu keiner Vorsteuerabzugskürzung führen (vgl. Art. 33 MWSTG ). Die Ausnahme von diesem Grundsatz, wie sie nach Art. 33 Abs. 2 MWSTG (namentlich) für Subventionen und andere öffentlich-rechtliche Beiträge nach Art. 18 Abs. 2 lit. a MWSTG gilt, mithin also die Vorsteuerabzugskürzung bei diesen Mittelflüssen, steht im Widerspruch zum Grundsatz der Wettbewerbsneutralität der Mehrwertsteuer (vgl. Art. 1 Abs. 3 lit. a MWSTG ); diese Ausnahme ist allein auf finanzpolitische Erwägungen zurückzuführen. Bei der Auslegung von Art. 18 Abs. 2 MWSTG ist demnach im Auge zu behalten, dass die Ausnahme von Art. 33 Abs. 2 MWSTG systemwidrige Konsequenzen nach sich zieht, indem nach dieser Bestimmung Mittelflüsse, die an sich ausserhalb des Bereiches der Mehrwertsteuer liegen, Auswirkungen auf das Vorsteuerabzugsrecht entfalten. Aus teleologischer Sicht ist damit der Ausdruck "Subventionen und andere öffentlich-rechtliche Beiträge" in Art. 18 Abs. 2 lit. a MWSTG jedenfalls nicht ausdehnend zu verstehen. Der Anwendungsbereich der Vorsteuerabzugskürzung muss aus Gründen der Systemkonformität beschränkt bleiben, selbst wenn Art. 29 MWSTV (SR 641.201) keine abschliessende Aufzählung der Subventionen oder anderen öffentlich-rechtlichen Beiträge enthält (Urteil 2C_356/2020 vom 21. Oktober 2020 E. 6.2 mit Hinweisen auf die Literatur).</w:t>
      </w:r>
    </w:p>
    <w:p>
      <w:r>
        <w:rPr>
          <w:b/>
        </w:rPr>
        <w:t>E. 3.1.2</w:t>
      </w:r>
    </w:p>
    <w:p>
      <w:r>
        <w:t>Wie das Bundesgericht im selben Urteil weiter ausgeführt hat, zeichnen sich "Subventionen und andere öffentlich-rechtliche Beiträge" nach dem allgemeinen Sprachgebrauch dadurch aus, dass es sich um Zuwendungen handelt, welche beim Empfänger eine Einnahme bilden und über die er damit verfügen kann, ohne dass er dem Zuwendenden dafür Beteiligungsrechte einräumen muss. Bei Einlagen ("apports") handelt es sich demgegenüber nach allgemeinem Sprachgebrauch um Einbringungen in eine Gesellschaft mit dem Ziel, dieser gestützt auf das Beteiligungsverhältnis Eigenkapital zuzuwenden. Einlagen in Unternehmen werden in Form von Sach- oder Geldleistungen von (direkt oder allenfalls auch nur indirekt) Beteiligten im Rahmen von Finanzierungsoperationen geleistet. Dem empfangenden Unternehmen erlauben die Einlagen, den Marktgesetzen folgend eine Mehrwerte schaffende Tätigkeit auszuüben. Beim BGE 149 II 43 S. 47 Beteiligten, welcher die Einlage leistet, führt diese zu einer blossen Vermögensumschichtung. Es liegt somit weder beim Zuwendenden noch beim Empfänger eine Einnahme vor, sondern der Zuwendende erhält für die Einlage Beteiligungsrechte (Urteil 2C_356/2020 vom 21. Oktober 2020 E. 6.1 mit Hinweisen).</w:t>
      </w:r>
    </w:p>
    <w:p>
      <w:r>
        <w:rPr>
          <w:b/>
        </w:rPr>
        <w:t>E. 3.1.3</w:t>
      </w:r>
    </w:p>
    <w:p>
      <w:r>
        <w:t>Von einer Einlage in ein Unternehmen im Sinne von Art. 18 Abs. 2 lit. e MWSTG ist demnach auszugehen, wenn das Gemeinwesen für die Zuwendung eine Beteiligung erhält. Angesichts des gebotenen extensiven Verständnisses des Begriffes der Einlage in ein Unternehmen im Sinne dieser Bestimmung ist dabei als Beteiligung auch eine bloss wirtschaftliche Beteiligung zu betrachten. Demgegenüber ist der Mittelfluss eher als Subvention oder öffentlich-rechtlicher Beitrag im Sinne von Art. 18 Abs. 2 lit. a MWSTG zu qualifizieren, wenn er beim Empfänger (im beurteilten Einzelfall: öffentlich-rechtliche Anstalt) eine Einnahme und beim Gemeinwesen eine Ausgabe bildet (Urteil 2C_356/2020 vom 21. Oktober 2020 E. 7.1).</w:t>
      </w:r>
    </w:p>
    <w:p>
      <w:r>
        <w:rPr>
          <w:b/>
        </w:rPr>
        <w:t>E. 3.2</w:t>
      </w:r>
    </w:p>
    <w:p>
      <w:r>
        <w:t>Das Mehrwertsteuergesetz selbst kennt keine Legaldefinition der Subvention oder anderen öffentlich-rechtlichen Beiträge. Die Bedeutung dieses Begriffs ist demnach auslegungsweise zu ermitteln. 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148 V 28 E. 6.1; BGE 147 II 385 E. 4.3; BGE 147 I 136 E. 2.3.2; je mit Hinweisen).</w:t>
      </w:r>
    </w:p>
    <w:p>
      <w:r>
        <w:rPr>
          <w:b/>
        </w:rPr>
        <w:t>E. 3.3</w:t>
      </w:r>
    </w:p>
    <w:p>
      <w:r>
        <w:t>Nach der zum MWSTG 1999 ergangenen Rechtsprechung ist entsprechend dem Gebot der Einheit der Rechtsordnung für die BGE 149 II 43 S. 48 Auslegung des Begriffs der Subventionen und anderen öffentlich-rechtlichen Beiträge grundsätzlich auf die Subventionsgesetzgebung zurückzugreifen ( BGE 140 I 153 E. 2.5.4; vgl. auch zum neuen Recht Urteil 2C_826/2016 vom 6. April 2018 E. 2.4). Art. 29 lit. a und b MWSTV verweist für den Begriff der Subventionen und anderen öffentlich-rechtlichen Beiträge nunmehr ausdrücklich - wenn auch nicht abschliessend - auf die Begriffe der Finanzhilfe und der Abgeltung nach Art. 3 des Bundesgesetzes vom 5. Oktober 1990 über Finanzhilfen und Abgeltungen (Subventionsgesetz, SuG; SR 616.1), wobei nach Art. 29 lit. d MWSTV Analoges gilt für vergleichbare Mittelflüsse, die gestützt auf kantonales oder kommunales Recht ausgerichtet werden. Nach Art. 3 SuG kommen nur geldwerte Vorteile und Leistungen an "Empfänger ausserhalb der Bundesverwaltung" ("bénéficiaires étrangers à l'administration fédérale"; "beneficiari estranei all'amministrazione federale") als Finanzhilfen oder Abgeltungen infrage. Mittelflüsse innerhalb der Bundesverwaltung - d.h. innerhalb des Gemeinwesens Bund - stellen nach der Konzeption der Subventionsgesetzgebung des Bundes also keine Subventionen dar.</w:t>
      </w:r>
    </w:p>
    <w:p>
      <w:r>
        <w:rPr>
          <w:b/>
        </w:rPr>
        <w:t>E. 3.4</w:t>
      </w:r>
    </w:p>
    <w:p>
      <w:r>
        <w:t>In dieselbe Richtung deutet der allgemeine Sprachgebrauch. Die deutsche und die französische Sprachfassung von Art. 18 Abs. 2 lit. a MWSTG verwenden den Begriff der "Subventionen" bzw. "subventions", während die italienische Version von "sussidi" spricht. Führende Wörterbücher definieren die Subvention als einen "zweckgebundenen, von der öffentlichen Hand gewährten Zuschuss zur Unterstützung bestimmter Wirtschaftszweige, einzelner Unternehmen" (Duden), als "aide financière accordée à titre de secours" bzw. "aide que l'État, qu'une association de droit public ou privé accorde à (un groupement, une personne)" (Le Grand Robert) oder als "aide financière versée par l'État ou une personne publique à une personne privée, physique ou morale, dans le but de favoriser l'activité d'intérêt général à laquelle elle se livre" (Larousse). "Sussìdio" wird - in der hier relevanten Bedeutung des Begriffs - umschrieben als "aiuto finanziario dato, soprattutto dallo stato o da enti pubblici, a persone, comunità, istituzioni varie" (Treccani). Aus all diesen Umschreibungen ergibt sich, dass Subventionen nach gewöhnlichem Sprachgebrauch finanzielle Unterstützungsbeiträge darstellen, die der Staat an Personen oder Gruppierungen ausrichtet, die in der Regel privat sind (vgl. insb. Definition von Larousse). Solange das Gemeinwesen die BGE 149 II 43 S. 49 Mittel nicht ausgibt, sondern lediglich von einer auf eine andere Dienststelle umbucht, richtet es also nach gewöhnlichem Sprachgebrauch keine Subvention aus.</w:t>
      </w:r>
    </w:p>
    <w:p>
      <w:r>
        <w:rPr>
          <w:b/>
        </w:rPr>
        <w:t>E. 3.5</w:t>
      </w:r>
    </w:p>
    <w:p>
      <w:r>
        <w:t>Auch teleologische und steuersystematische Überlegungen sprechen dagegen, die auf die Dienststelle Liegenschaftsverwaltung umgebuchten Mittel als Subvention oder anderen öffentlich-rechtlichen Beitrag zu betrachten. Die Vorinstanz hat für das Bundesgericht nämlich verbindlich festgestellt ( Art. 105 Abs. 1 BGG ), dass die einst der Dienststelle Liegenschaftsverwaltung für die Investition zur Verfügung gestellten Mittel wieder der Gemeinde (bzw. deren Abteilung Finanzen) zufliessen würden, wenn diese beschliessen würde, sämtliche Liegenschaften zu verkaufen, die Dienststelle Liegenschaftsverwaltung aufzulösen und fortan sämtliche benötigten Räumlichkeiten bei Dritten zu mieten. Die anderen Dienststellen bzw. die Gemeinde verlören den Zugriff auf die betreffenden Mittel also nicht. Die Vorinstanz hat die Beziehungen unter den Dienststellen desselben Gemeinwesens deshalb nicht als formelle, aber als wirtschaftliche Beteiligungsverhältnisse gedeutet. Mittelflüsse zwischen Dienststellen desselben Gemeinwesens, die ohne entsprechende Gegenleistung im Sinne des MWSTG erfolgten, stellen laut der Vorinstanz stets blosse Vermögensumschichtungen und keine Einnahmen bzw. Ausgaben dar (vgl. angefochtenes Urteil A-2566/2020 E. 3.3.2). Wenn das Gemeinwesen die empfangende Dienststelle auflösen und so auf die zur Verfügung gestellten Mittel zugreifen kann, wie die Vorinstanz darlegt, kann der betreffende gegenleistungslose Mittelfluss beim Gemeinwesen respektive bei der zuwendenden Dienststelle keine Ausgabe und bei der empfangenden Dienststelle keine Einnahme darstellen und damit nach der Rechtsprechung nicht unter Art. 18 Abs. 2 lit. a MWSTG fallen. Ob das Verhältnis zwischen den betroffenen Dienststellen als wirtschaftliches Beteiligungsverhältnis und die Zuwendung damit als Einlage nach Art. 18 Abs. 2 lit. e MWSTG zu charakterisieren ist, wie die Vorinstanz meint, oder eher von einem darlehensähnlichen Verhältnis auszugehen ist, wie die Beschwerdegegnerin ausführt, spielt keine Rolle. Denn gleich wie Einlagen stellen auch darlehens- bzw. kreditweise zur Verfügung gestellte Mittel keine mehrwertsteuerlich relevanten Entgelte dar (das Entgelt besteht vielmehr im Zins, den der Darlehensnehmer bezahlt; vgl. zum alten Recht BGE 132 II 353 E. 6.1; BOSSART/CLAVADETSCHER, in: Bundesgesetz über die Mehrwertsteuer, Kommentar BGE 149 II 43 S. 50 zum Schweizerischen Steuerrecht, 2015, N. 94 zu Art. 18 MWSTG ; GLAUSER/PILLONEL, in: Bundesgesetz über die Mehrwertsteuer, Kommentar zum Schweizerischen Steuerrecht, 2015, N. 218 zu Art. 18 MWSTG ) und ebensowenig wie Einlagen führen solche Mittel nach geltendem Recht zu einer Vorsteuerabzugskürzung (vgl. Art. 33 Abs. 1 MWSTG ).</w:t>
      </w:r>
    </w:p>
    <w:p>
      <w:r>
        <w:rPr>
          <w:b/>
        </w:rPr>
        <w:t>E. 3.6</w:t>
      </w:r>
    </w:p>
    <w:p>
      <w:r>
        <w:t>Was die ESTV zugunsten eines ausdehnenden Verständnisses des Subventionsbegriffs nach Art. 18 Abs. 2 lit. a MWSTG vorbringt, führt zu keinem anderen Ergebnis.</w:t>
      </w:r>
    </w:p>
    <w:p>
      <w:r>
        <w:rPr>
          <w:b/>
        </w:rPr>
        <w:t>E. 3.6.1</w:t>
      </w:r>
    </w:p>
    <w:p>
      <w:r>
        <w:t>Entgegen der Darstellung der ESTV sind rein buchmässige Mittelflüsse innerhalb desselben Gemeinwesens nicht vergleichbar mit Mittelflüssen aus dem Gemeinwesen an private Empfänger. Denn wie die Vorinstanz zutreffend darlegt, fehlt internen, rein buchmässigen Mittelflüssen innerhalb eines Gemeinwesens regelmässig der Ausgaben- respektive Einnahmencharakter. Insofern unterscheidet sich die vorliegende Konstellation auch von jener des Urteils 2C_ 356/2020 vom 21. Oktober 2020, wo es um Mittelflüsse von einer Gemeinde an eine rechtlich selbständige Stiftung ging. Da diese Mittelflüsse die Sphäre des Gemeinwesens verlassen hatten, war nicht von Beginn weg ausgeschlossen, dass darin Subventionen oder andere öffentlich-rechtliche Beiträge gemäss Art. 18 Abs. 2 lit. a MWSTG gesehen werden konnten. In der Tat qualifizierte das Bundesgericht sie denn auch teils als Subventionen bzw. andere öffentlich-rechtliche Beiträge, teils als Einlage gemäss Art. 18 Abs. 2 lit. e MWSTG (vgl. Urteil 2C_356/2020 vom 21. Oktober 2020 E. 8.3 und 9). Des Weiteren besteht auch ein qualitativer Unterschied zwischen Mittelflüssen innerhalb desselben Gemeinwesens und Mittelflüssen zwischen unterschiedlichen Gemeinwesen. Wenn Mittelflüsse innerhalb desselben Gemeinwesens keine Subventionen darstellen können, folgt daraus jedenfalls nicht, dass auch Mittelflüsse zwischen unterschiedlichen Gemeinwesen (z.B. vom Bund an einen Kanton oder an eine Gemeinde) nicht unter Art. 18 Abs. 2 lit. a MWSTG fallen können.</w:t>
      </w:r>
    </w:p>
    <w:p>
      <w:r>
        <w:rPr>
          <w:b/>
        </w:rPr>
        <w:t>E. 3.6.2</w:t>
      </w:r>
    </w:p>
    <w:p>
      <w:r>
        <w:t>Es trifft zwar zu, dass die spezielle Regelung der Steuersubjektivität in Art. 12 MWSTG Gemeinwesen zumindest in gewissen Konstellationen erlaubt, ihre mehrwertsteuerliche Position vor allem in Bezug auf den Vorsteuerabzug durch eine entsprechende Organisation ihrer Dienststellen zu optimieren, und Art. 12 MWSTG insoweit ein gewisses Potenzial für eine Umverteilung öffentlicher Mittel BGE 149 II 43 S. 51 vom Bund auf die Kantone und Gemeinden enthält. Dies rechtfertigt jedoch keine Ausdehnung des Subventionsbegriffs und der Vorsteuerabzugskürzung, die aufgrund der Systemwidrigkeit von Art. 33 Abs. 2 MWSTG nach der Rechtsprechung und der einhelligen Lehre gerade nicht angezeigt wäre (vgl. oben E. 3.1.1; Urteil 2C_356/2020 vom 21. Oktober 2020 E. 6.2; BAUMGARTNER/CLAVADETSCHER/KOCHER, Vom alten zum neuen Mehrwertsteuergesetz, 2010, S. 132; BEATRICE BLUM, in: MWSTG, Kommentar, 2. Aufl. 2019, N. 12 zu Art. 33 MWSTG ; BOPP/KÖNIG, Ausgewählte Fragestellungen bezüglich Unternehmen und Gemeinwesen im neuen MWSTG, ASA 78 S. 787, S. 794; BOSSART MEIER/CLAVADETSCHER, Gekapptes Vorsteuerabzugsrecht der Gemeinwesen, Der Schweizer Treuhänder [ST] 4/2015 S. 287, S. 290; ALOIS CAMENZIND UND ANDERE, Handbuch zum Mehrwertsteuergesetz [MWSTG], 3. Aufl. 2012, S. 298 f.; PIERRE-MARIE GLAUSER, in: Bundesgesetz über die Mehrwertsteuer, Kommentar zum Schweizerischen Steuerrecht, 2015, N. 30 zu Art. 33 MWSTG ).</w:t>
      </w:r>
    </w:p>
    <w:p>
      <w:r>
        <w:rPr>
          <w:b/>
        </w:rPr>
        <w:t>E. 3.6.3</w:t>
      </w:r>
    </w:p>
    <w:p>
      <w:r>
        <w:t>Dem Missbrauchspotenzial, das der Regelung von Art. 12 MWSTG inhärent ist, kann jedoch unter dem Titel der Steuerumgehung begegnet werden. Nach der Rechtsprechung liegt eine Steuerumgehung vor, wenn (a) eine von den Beteiligten gewählte Rechtsgestaltung als ungewöhnlich ("insolite"), sachwidrig oder absonderlich, jedenfalls den wirtschaftlichen Gegebenheiten völlig unangemessen erscheint (sog. objektives Element), wenn zudem (b) anzunehmen ist, dass die gewählte Rechtsgestaltung missbräuchlich lediglich deshalb getroffen wurde, um Steuern einzusparen, die bei sachgemässer Ordnung der Verhältnisse geschuldet wären (sog. subjektives Element), und wenn (c) das gewählte Vorgehen tatsächlich zu einer erheblichen Steuerersparnis führen würde, sofern es von der Steuerbehörde hingenommen würde (sog. effektives Element; zur detaillierten Anwendung dieser Kriterien vgl. BGE 138 II 239 E. 4.1 mit Hinweisen). Ob diese Voraussetzungen erfüllt sind, ist aufgrund der konkreten Umstände des Einzelfalls zu prüfen. Sind die Voraussetzungen der Steuerumgehung erfüllt, so ist der Besteuerung diejenige Rechtsgestaltung zugrunde zu legen, die sachgerecht gewesen wäre, um den angestrebten wirtschaftlichen Zweck zu erreichen. Eine Steuerumgehung kommt nur in ganz ausserordentlichen Situationen in Frage, namentlich wenn die gewählte Rechtsgestaltung (objektives Element) - abgesehen von den steuerlichen Aspekten - jenseits des wirtschaftlich Vernünftigen liegt. Das subjektive Element erweist sich insofern als entscheidend, als die BGE 149 II 43 S. 52 Annahme einer Steuerumgehung ausgeschlossen bleibt, wenn andere als blosse Steuerersparnisgründe bei der Rechtsgestaltung eine relevante Rolle spielen ( BGE 148 II 233 E. 5.2; BGE 146 II 97 E. 2.6.2; BGE 142 II 399 E. 4.2; BGE 138 II 239 E. 4.1).</w:t>
      </w:r>
    </w:p>
    <w:p>
      <w:r>
        <w:rPr>
          <w:b/>
        </w:rPr>
        <w:t>E. 3.6.4</w:t>
      </w:r>
    </w:p>
    <w:p>
      <w:r>
        <w:t>Es ist grundsätzlich vorstellbar, dass ein Kanton oder eine Gemeinde lediglich zur Verbesserung der eigenen Vorsteuerabzugsposition seine bzw. ihre Dienststellen in einer Art und Weise organisiert, die als ungewöhnlich, sachwidrig oder absonderlich bezeichnet werden muss. So hat denn auch die Vorinstanz in einem ebenfalls eine Dienststelle eines Gemeinwesens betreffenden Fall erkannt, dass es ungewöhnlich sei und potenziell eine Steuerumgehung bedeute, wenn eine Gemeinde eine Dienststelle "Vermietete Liegenschaften Verwaltungsvermögen" schaffe und dieser mit Blick auf den Vorsteuerabzug nur gerade jene Liegenschaften aus ihrem Immobilienportfolio zuordne, bei welchen eine Grossinvestition im Sinne eines Neubaus bevorstehe (vgl. Urteil des Bundesverwaltungsgerichts A-3014/2016 vom 18. November 2016 E. 5.1.2). Damit die Organisation der Dienststellen unter dem Titel der Steuerumgehung hinterfragt werden könnte, müssten allerdings Anhaltspunkte vorliegen, welche die Gestaltung als den wirtschaftlichen Gegebenheiten völlig unangemessen erscheinen lassen. Ursprünglich hatte die ESTV gestützt auf das erwähnte Urteil der Vorinstanz vom 18. November 2016 auch in der vorliegend zu beurteilenden Konstellation der Beschwerdegegnerin eine Steuerumgehung vorgeworfen. Im Laufe des Verfahrens hat sie ihre Argumentation jedoch geändert und es in der Folge unterlassen, die Voraussetzungen der Steuerumgehung zu behaupten und zu beweisen. Zumindest auf der Basis der Feststellungen der Vorinstanz, die für das Bundesgericht mangels einer hinreichend substanziierten Rüge verbindlich sind ( Art. 97 Abs. 1, Art. 105 Abs. 1 und Art. 106 Abs. 2 BGG ; vgl. nicht publ. E. 2.1; Urteil 2C_492/2020 vom 25. Februar 2022 E. 7.2), ist nicht zu erkennen, dass die streitbetroffene Gestaltung die Merkmale einer Steuerumgehung tragen würde.</w:t>
      </w:r>
    </w:p>
    <w:p>
      <w:r>
        <w:rPr>
          <w:b/>
        </w:rPr>
        <w:t>E. 3.6.5</w:t>
      </w:r>
    </w:p>
    <w:p>
      <w:r>
        <w:t>Nicht näher einzugehen ist auf die Kritik der ESTV an den Ausführungen der Vorinstanz zum Begriff der Einlage. Denn wie erläutert (vgl. oben E. 3.5), spielt es vorliegend keine Rolle, ob der Dienststelle Liegenschaftsverwaltung Mittel als Einlagen gemäss Art. 18 Abs. 2 lit. e MWSTG oder in der Form eines anderen Nicht-Entgelts zugeflossen sind. Entscheidend ist alleine, dass ihr keine BGE 149 II 43 S. 53 Subventionen oder öffentlich-rechtliche Beiträge gemäss Art. 18 Abs. 2 lit. a MWSTG zugeflossen sind, die nach Art. 33 Abs. 2 MWSTG eine Vorsteuerabzugskürzung nach sich ziehen würden.</w:t>
      </w:r>
    </w:p>
    <w:p>
      <w:r>
        <w:rPr>
          <w:b/>
        </w:rPr>
        <w:t>E. 3.7</w:t>
      </w:r>
    </w:p>
    <w:p>
      <w:r>
        <w:t>Nach dem Gesagten stellen die Mittel, die der Dienststelle Liegenschaftsverwaltung für den Bau des Gemeindehauses zur Verfügung gestellt worden sind, keine Subventionen und keine öffentlich-rechtlichen Beiträge nach Art. 18 Abs. 2 lit. a MWSTG dar. Dementsprechend ist der Vorsteuerabzug der Dienststelle Liegenschaftsverwaltung nicht gestützt auf Art. 33 Abs. 2 MWSTG zu kürzen. Das Urteil der Vorinstanz ist bundesrechtlich jedenfalls im Ergebnis nicht zu beanstanden. Ob die fraglichen Mittel der Dienststelle Liegenschaftsverwaltung gar nicht erst zugeflossen sind, wie die Dienststelle Liegenschaftsverwaltung behauptet, braucht unter diesen Umständen nicht geprüft zu werden. Der Klarheit halber ist aber immerhin festzuhalten, dass nach der Konzeption des Mehrwertsteuerrechts Leistungsverhältnisse und damit auch Mittelflüsse zwischen verschiedenen Dienststellen desselben Gemeinwesens grundsätzlich möglich sind (vgl. Art. 21 Abs. 2 Ziff. 28 MWSTG in der hier einschlägigen, bis zum 31. Dezember 2017 gültigen Fassung, wonach "Leistungen innerhalb des gleichen Gemeinwesens" von der Mehrwertsteuer ausgenommen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